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bookmarkStart w:id="0" w:name="_GoBack"/>
      <w:bookmarkEnd w:id="0"/>
      <w:r w:rsidRPr="00867F6D">
        <w:rPr>
          <w:rFonts w:ascii="Times New Roman" w:hAnsi="Times New Roman" w:cs="Times New Roman"/>
          <w:b w:val="0"/>
          <w:sz w:val="30"/>
          <w:szCs w:val="30"/>
        </w:rPr>
        <w:t>УКАЗАНИЯ</w:t>
      </w: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rsidR="00C54720" w:rsidRPr="00867F6D" w:rsidRDefault="00C54720" w:rsidP="00C54720">
      <w:pPr>
        <w:pStyle w:val="ConsPlusTitle"/>
        <w:suppressAutoHyphens/>
        <w:jc w:val="both"/>
        <w:rPr>
          <w:rFonts w:ascii="Times New Roman" w:hAnsi="Times New Roman" w:cs="Times New Roman"/>
          <w:b w:val="0"/>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rsidR="00C54720" w:rsidRPr="00867F6D" w:rsidRDefault="00C54720" w:rsidP="00C54720">
      <w:pPr>
        <w:pStyle w:val="ConsPlusNormal"/>
        <w:suppressAutoHyphens/>
        <w:ind w:firstLine="540"/>
        <w:jc w:val="center"/>
        <w:rPr>
          <w:rFonts w:ascii="Times New Roman" w:hAnsi="Times New Roman" w:cs="Times New Roman"/>
          <w:sz w:val="30"/>
          <w:szCs w:val="30"/>
        </w:rPr>
      </w:pP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w:t>
      </w:r>
      <w:proofErr w:type="gramStart"/>
      <w:r w:rsidRPr="00867F6D">
        <w:rPr>
          <w:rFonts w:ascii="Times New Roman" w:hAnsi="Times New Roman" w:cs="Times New Roman"/>
          <w:sz w:val="30"/>
          <w:szCs w:val="30"/>
        </w:rPr>
        <w:t xml:space="preserve">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proofErr w:type="spellStart"/>
      <w:r w:rsidR="00C8761B" w:rsidRPr="00867F6D">
        <w:rPr>
          <w:rFonts w:ascii="Times New Roman" w:hAnsi="Times New Roman" w:cs="Times New Roman"/>
          <w:sz w:val="30"/>
          <w:szCs w:val="30"/>
        </w:rPr>
        <w:t>природопользователи</w:t>
      </w:r>
      <w:proofErr w:type="spellEnd"/>
      <w:r w:rsidR="00C8761B" w:rsidRPr="00867F6D">
        <w:rPr>
          <w:rFonts w:ascii="Times New Roman" w:hAnsi="Times New Roman" w:cs="Times New Roman"/>
          <w:sz w:val="30"/>
          <w:szCs w:val="30"/>
        </w:rPr>
        <w:t xml:space="preserve">, </w:t>
      </w:r>
      <w:r w:rsidRPr="00867F6D">
        <w:rPr>
          <w:rFonts w:ascii="Times New Roman" w:hAnsi="Times New Roman" w:cs="Times New Roman"/>
          <w:sz w:val="30"/>
          <w:szCs w:val="30"/>
        </w:rPr>
        <w:t>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w:t>
      </w:r>
      <w:proofErr w:type="gramEnd"/>
      <w:r w:rsidRPr="00867F6D">
        <w:rPr>
          <w:rFonts w:ascii="Times New Roman" w:hAnsi="Times New Roman" w:cs="Times New Roman"/>
          <w:sz w:val="30"/>
          <w:szCs w:val="30"/>
        </w:rPr>
        <w:t xml:space="preserve">) </w:t>
      </w:r>
      <w:r w:rsidRPr="00867F6D">
        <w:rPr>
          <w:rFonts w:ascii="Times New Roman" w:hAnsi="Times New Roman" w:cs="Times New Roman"/>
          <w:color w:val="000000"/>
          <w:sz w:val="30"/>
          <w:szCs w:val="30"/>
        </w:rPr>
        <w:t xml:space="preserve">по следующим электронным адресам: </w:t>
      </w:r>
      <w:proofErr w:type="gramStart"/>
      <w:r w:rsidRPr="00867F6D">
        <w:rPr>
          <w:rFonts w:ascii="Times New Roman" w:hAnsi="Times New Roman" w:cs="Times New Roman"/>
          <w:color w:val="000000"/>
          <w:sz w:val="30"/>
          <w:szCs w:val="30"/>
        </w:rPr>
        <w:t xml:space="preserve">Брестский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10"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1"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rPr>
          <w:t>mocprioos</w:t>
        </w:r>
        <w:proofErr w:type="gramEnd"/>
        <w:r w:rsidRPr="00867F6D">
          <w:rPr>
            <w:rStyle w:val="ac"/>
            <w:rFonts w:ascii="Times New Roman" w:hAnsi="Times New Roman" w:cs="Times New Roman"/>
            <w:color w:val="000000"/>
            <w:sz w:val="30"/>
            <w:szCs w:val="30"/>
            <w:u w:val="none"/>
          </w:rPr>
          <w:t>@minoblpriroda.gov.by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5"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w:t>
        </w:r>
        <w:proofErr w:type="spellStart"/>
        <w:r w:rsidRPr="00867F6D">
          <w:rPr>
            <w:rStyle w:val="ac"/>
            <w:rFonts w:ascii="Times New Roman" w:hAnsi="Times New Roman" w:cs="Times New Roman"/>
            <w:color w:val="000000"/>
            <w:sz w:val="30"/>
            <w:szCs w:val="30"/>
            <w:u w:val="none"/>
          </w:rPr>
          <w:t>by</w:t>
        </w:r>
        <w:proofErr w:type="spellEnd"/>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rsidR="00C54720" w:rsidRPr="00867F6D" w:rsidRDefault="00C54720" w:rsidP="00C54720">
      <w:pPr>
        <w:suppressAutoHyphens/>
        <w:ind w:firstLine="709"/>
      </w:pPr>
      <w:r w:rsidRPr="00867F6D">
        <w:t xml:space="preserve">3. </w:t>
      </w:r>
      <w:proofErr w:type="spellStart"/>
      <w:r w:rsidRPr="00867F6D">
        <w:t>Природопользователи</w:t>
      </w:r>
      <w:proofErr w:type="spellEnd"/>
      <w:r w:rsidRPr="00867F6D">
        <w:t xml:space="preserve">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rsidR="00C54720" w:rsidRPr="00867F6D" w:rsidRDefault="00C54720" w:rsidP="00C54720">
      <w:pPr>
        <w:suppressAutoHyphens/>
        <w:ind w:firstLine="709"/>
      </w:pPr>
      <w:proofErr w:type="spellStart"/>
      <w:r w:rsidRPr="00867F6D">
        <w:lastRenderedPageBreak/>
        <w:t>Природопользователи</w:t>
      </w:r>
      <w:proofErr w:type="spellEnd"/>
      <w:r w:rsidRPr="00867F6D">
        <w:t xml:space="preserve">,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1" w:name="P467"/>
      <w:bookmarkEnd w:id="1"/>
    </w:p>
    <w:p w:rsidR="00C54720" w:rsidRPr="00867F6D" w:rsidRDefault="00C54720" w:rsidP="00C54720">
      <w:pPr>
        <w:suppressAutoHyphens/>
        <w:ind w:firstLine="709"/>
      </w:pPr>
      <w:r w:rsidRPr="00867F6D">
        <w:t xml:space="preserve">6. Отчет заполняется на основании данных учета в области охраны атмосферного воздуха в соответствии с требованиями экологических норм и правил </w:t>
      </w:r>
      <w:proofErr w:type="spellStart"/>
      <w:r w:rsidRPr="00867F6D">
        <w:t>ЭкоНиП</w:t>
      </w:r>
      <w:proofErr w:type="spellEnd"/>
      <w:r w:rsidRPr="00867F6D">
        <w:t xml:space="preserve"> 17.08.06-001-2022 «Охрана окружающей среды и природопользование. Атмосферный воздух (в том числе озоновый слой). </w:t>
      </w:r>
      <w:proofErr w:type="gramStart"/>
      <w:r w:rsidRPr="00867F6D">
        <w:t xml:space="preserve">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w:t>
      </w:r>
      <w:proofErr w:type="spellStart"/>
      <w:r w:rsidRPr="00867F6D">
        <w:t>ЭкоНиП</w:t>
      </w:r>
      <w:proofErr w:type="spellEnd"/>
      <w:r w:rsidRPr="00867F6D">
        <w:t xml:space="preserve">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w:t>
      </w:r>
      <w:proofErr w:type="gramEnd"/>
      <w:r w:rsidRPr="00867F6D">
        <w:t xml:space="preserve"> воздух</w:t>
      </w:r>
      <w:r w:rsidR="00AC2EC5" w:rsidRPr="00867F6D">
        <w:t xml:space="preserve">, </w:t>
      </w:r>
      <w:r w:rsidRPr="00867F6D">
        <w:t>разрешений.</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7. В таблице 1 отражается информация об имеющихся у </w:t>
      </w:r>
      <w:proofErr w:type="spellStart"/>
      <w:r w:rsidRPr="00867F6D">
        <w:rPr>
          <w:rFonts w:ascii="Times New Roman" w:hAnsi="Times New Roman" w:cs="Times New Roman"/>
          <w:sz w:val="30"/>
          <w:szCs w:val="30"/>
        </w:rPr>
        <w:t>природопользователя</w:t>
      </w:r>
      <w:proofErr w:type="spellEnd"/>
      <w:r w:rsidRPr="00867F6D">
        <w:rPr>
          <w:rFonts w:ascii="Times New Roman" w:hAnsi="Times New Roman" w:cs="Times New Roman"/>
          <w:sz w:val="30"/>
          <w:szCs w:val="30"/>
        </w:rPr>
        <w:t xml:space="preserve"> стационарных источниках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w:t>
      </w:r>
      <w:proofErr w:type="gramStart"/>
      <w:r w:rsidRPr="00867F6D">
        <w:rPr>
          <w:rFonts w:ascii="Times New Roman" w:hAnsi="Times New Roman" w:cs="Times New Roman"/>
          <w:color w:val="000000"/>
          <w:sz w:val="30"/>
          <w:szCs w:val="30"/>
        </w:rPr>
        <w:t>неорганизованные</w:t>
      </w:r>
      <w:proofErr w:type="gramEnd"/>
      <w:r w:rsidRPr="00867F6D">
        <w:rPr>
          <w:rFonts w:ascii="Times New Roman" w:hAnsi="Times New Roman" w:cs="Times New Roman"/>
          <w:color w:val="000000"/>
          <w:sz w:val="30"/>
          <w:szCs w:val="30"/>
        </w:rPr>
        <w:t xml:space="preserve">) на конец отчетного </w:t>
      </w:r>
      <w:r w:rsidRPr="00867F6D">
        <w:rPr>
          <w:rFonts w:ascii="Times New Roman" w:hAnsi="Times New Roman" w:cs="Times New Roman"/>
          <w:sz w:val="30"/>
          <w:szCs w:val="30"/>
        </w:rPr>
        <w:t xml:space="preserve">года за исключением </w:t>
      </w:r>
      <w:r w:rsidRPr="00867F6D">
        <w:rPr>
          <w:rFonts w:ascii="Times New Roman" w:hAnsi="Times New Roman" w:cs="Times New Roman"/>
          <w:sz w:val="30"/>
          <w:szCs w:val="30"/>
        </w:rPr>
        <w:lastRenderedPageBreak/>
        <w:t>законсервированных и демонтированных;</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количество стационарных источников выбросов (включая неорганизованные), для которых в разрешении установлены нормативы допустимых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w:t>
      </w:r>
      <w:proofErr w:type="gramStart"/>
      <w:r w:rsidRPr="00867F6D">
        <w:rPr>
          <w:rFonts w:ascii="Times New Roman" w:hAnsi="Times New Roman" w:cs="Times New Roman"/>
          <w:sz w:val="30"/>
          <w:szCs w:val="30"/>
        </w:rPr>
        <w:t>имеющихся</w:t>
      </w:r>
      <w:proofErr w:type="gramEnd"/>
      <w:r w:rsidRPr="00867F6D">
        <w:rPr>
          <w:rFonts w:ascii="Times New Roman" w:hAnsi="Times New Roman" w:cs="Times New Roman"/>
          <w:sz w:val="30"/>
          <w:szCs w:val="30"/>
        </w:rPr>
        <w:t xml:space="preserve"> ГОУ на конец отчетного года, включая неработающие в течение отчетного года и исключая законсервированные: </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указываются наименования загрязняющих веществ, от которых производится очистка на ГОУ,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у источника выбросов одна ступень очистки газа, состоящая из одного аппарата группы</w:t>
      </w:r>
      <w:proofErr w:type="gramStart"/>
      <w:r w:rsidRPr="00867F6D">
        <w:rPr>
          <w:rFonts w:ascii="Times New Roman" w:eastAsia="Calibri" w:hAnsi="Times New Roman" w:cs="Times New Roman"/>
          <w:sz w:val="30"/>
          <w:szCs w:val="30"/>
          <w:lang w:eastAsia="en-US"/>
        </w:rPr>
        <w:t xml:space="preserve"> Э</w:t>
      </w:r>
      <w:proofErr w:type="gramEnd"/>
      <w:r w:rsidRPr="00867F6D">
        <w:rPr>
          <w:rFonts w:ascii="Times New Roman" w:eastAsia="Calibri" w:hAnsi="Times New Roman" w:cs="Times New Roman"/>
          <w:sz w:val="30"/>
          <w:szCs w:val="30"/>
          <w:lang w:eastAsia="en-US"/>
        </w:rPr>
        <w:t xml:space="preserve">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у источника выбросов две ступени очистки газа, первая из которых состоит из двух аппаратов группы</w:t>
      </w:r>
      <w:proofErr w:type="gramStart"/>
      <w:r w:rsidRPr="00867F6D">
        <w:rPr>
          <w:rFonts w:ascii="Times New Roman" w:eastAsia="Calibri" w:hAnsi="Times New Roman" w:cs="Times New Roman"/>
          <w:sz w:val="30"/>
          <w:szCs w:val="30"/>
          <w:lang w:eastAsia="en-US"/>
        </w:rPr>
        <w:t xml:space="preserve"> С</w:t>
      </w:r>
      <w:proofErr w:type="gramEnd"/>
      <w:r w:rsidRPr="00867F6D">
        <w:rPr>
          <w:rFonts w:ascii="Times New Roman" w:eastAsia="Calibri" w:hAnsi="Times New Roman" w:cs="Times New Roman"/>
          <w:sz w:val="30"/>
          <w:szCs w:val="30"/>
          <w:lang w:eastAsia="en-US"/>
        </w:rPr>
        <w:t xml:space="preserve">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у источника выбросов три ступени очистки газа, первая и вторая из которых состоят из двух аппаратов группы</w:t>
      </w:r>
      <w:proofErr w:type="gramStart"/>
      <w:r w:rsidRPr="00867F6D">
        <w:rPr>
          <w:rFonts w:ascii="Times New Roman" w:eastAsia="Calibri" w:hAnsi="Times New Roman" w:cs="Times New Roman"/>
          <w:sz w:val="30"/>
          <w:szCs w:val="30"/>
          <w:lang w:eastAsia="en-US"/>
        </w:rPr>
        <w:t xml:space="preserve"> С</w:t>
      </w:r>
      <w:proofErr w:type="gramEnd"/>
      <w:r w:rsidRPr="00867F6D">
        <w:rPr>
          <w:rFonts w:ascii="Times New Roman" w:eastAsia="Calibri" w:hAnsi="Times New Roman" w:cs="Times New Roman"/>
          <w:sz w:val="30"/>
          <w:szCs w:val="30"/>
          <w:lang w:eastAsia="en-US"/>
        </w:rPr>
        <w:t xml:space="preserve">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 xml:space="preserve">указывается мощность ГОУ (объем очищаемых газов) по </w:t>
      </w:r>
      <w:r w:rsidRPr="00867F6D">
        <w:rPr>
          <w:rFonts w:ascii="Times New Roman" w:hAnsi="Times New Roman" w:cs="Times New Roman"/>
          <w:sz w:val="30"/>
          <w:szCs w:val="30"/>
        </w:rPr>
        <w:lastRenderedPageBreak/>
        <w:t xml:space="preserve">каждому загрязняющему веществу, от которого производится очистка, на основании проектной документации </w:t>
      </w:r>
      <w:proofErr w:type="gramStart"/>
      <w:r w:rsidRPr="00867F6D">
        <w:rPr>
          <w:rFonts w:ascii="Times New Roman" w:hAnsi="Times New Roman" w:cs="Times New Roman"/>
          <w:sz w:val="30"/>
          <w:szCs w:val="30"/>
        </w:rPr>
        <w:t>на</w:t>
      </w:r>
      <w:proofErr w:type="gramEnd"/>
      <w:r w:rsidRPr="00867F6D">
        <w:rPr>
          <w:rFonts w:ascii="Times New Roman" w:hAnsi="Times New Roman" w:cs="Times New Roman"/>
          <w:sz w:val="30"/>
          <w:szCs w:val="30"/>
        </w:rPr>
        <w:t xml:space="preserve"> такие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групп, формируемых с учетом типов двигателя (транспортные средства, работающие на бензине, газовом топливе, бензине и газовом топливе, дизельном топливе, </w:t>
      </w:r>
      <w:proofErr w:type="spellStart"/>
      <w:r w:rsidRPr="00867F6D">
        <w:rPr>
          <w:rFonts w:ascii="Times New Roman" w:hAnsi="Times New Roman" w:cs="Times New Roman"/>
          <w:sz w:val="30"/>
          <w:szCs w:val="30"/>
        </w:rPr>
        <w:t>биодизельном</w:t>
      </w:r>
      <w:proofErr w:type="spellEnd"/>
      <w:r w:rsidRPr="00867F6D">
        <w:rPr>
          <w:rFonts w:ascii="Times New Roman" w:hAnsi="Times New Roman" w:cs="Times New Roman"/>
          <w:sz w:val="30"/>
          <w:szCs w:val="30"/>
        </w:rPr>
        <w:t xml:space="preserve"> топливе);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 xml:space="preserve">В таблице 4 отражаются данные о выполнении </w:t>
      </w:r>
      <w:proofErr w:type="spellStart"/>
      <w:r w:rsidRPr="00867F6D">
        <w:rPr>
          <w:rFonts w:ascii="Times New Roman" w:hAnsi="Times New Roman" w:cs="Times New Roman"/>
          <w:color w:val="000000"/>
          <w:sz w:val="30"/>
          <w:szCs w:val="30"/>
        </w:rPr>
        <w:t>природопользователем</w:t>
      </w:r>
      <w:proofErr w:type="spellEnd"/>
      <w:r w:rsidRPr="00867F6D">
        <w:rPr>
          <w:rFonts w:ascii="Times New Roman" w:hAnsi="Times New Roman" w:cs="Times New Roman"/>
          <w:color w:val="000000"/>
          <w:sz w:val="30"/>
          <w:szCs w:val="30"/>
        </w:rPr>
        <w:t xml:space="preserve">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w:t>
      </w:r>
      <w:proofErr w:type="gramStart"/>
      <w:r w:rsidRPr="00867F6D">
        <w:rPr>
          <w:rFonts w:ascii="Times New Roman" w:hAnsi="Times New Roman" w:cs="Times New Roman"/>
          <w:sz w:val="30"/>
          <w:szCs w:val="30"/>
        </w:rPr>
        <w:t>завершения</w:t>
      </w:r>
      <w:proofErr w:type="gramEnd"/>
      <w:r w:rsidRPr="00867F6D">
        <w:rPr>
          <w:rFonts w:ascii="Times New Roman" w:hAnsi="Times New Roman" w:cs="Times New Roman"/>
          <w:sz w:val="30"/>
          <w:szCs w:val="30"/>
        </w:rPr>
        <w:t xml:space="preserve">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11. В таблице 5 отражаются сведения о выбросах основных загрязняющих веществ и их групп в атмосферный воздух от стационарных источников выбросов </w:t>
      </w:r>
      <w:proofErr w:type="spellStart"/>
      <w:r w:rsidRPr="00867F6D">
        <w:rPr>
          <w:rFonts w:ascii="Times New Roman" w:hAnsi="Times New Roman" w:cs="Times New Roman"/>
          <w:sz w:val="30"/>
          <w:szCs w:val="30"/>
        </w:rPr>
        <w:t>природопользователя</w:t>
      </w:r>
      <w:proofErr w:type="spellEnd"/>
      <w:r w:rsidRPr="00867F6D">
        <w:rPr>
          <w:rFonts w:ascii="Times New Roman" w:hAnsi="Times New Roman" w:cs="Times New Roman"/>
          <w:sz w:val="30"/>
          <w:szCs w:val="30"/>
        </w:rPr>
        <w:t>:</w:t>
      </w:r>
    </w:p>
    <w:p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2"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proofErr w:type="spellStart"/>
      <w:r w:rsidR="00ED1204" w:rsidRPr="00867F6D">
        <w:rPr>
          <w:rFonts w:ascii="Times New Roman" w:hAnsi="Times New Roman" w:cs="Times New Roman"/>
          <w:sz w:val="30"/>
          <w:szCs w:val="30"/>
        </w:rPr>
        <w:lastRenderedPageBreak/>
        <w:t>природопользователю</w:t>
      </w:r>
      <w:proofErr w:type="spellEnd"/>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bookmarkEnd w:id="2"/>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color w:val="000000"/>
          <w:sz w:val="30"/>
          <w:szCs w:val="30"/>
        </w:rPr>
      </w:pPr>
      <w:proofErr w:type="gramStart"/>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w:t>
      </w:r>
      <w:proofErr w:type="spellStart"/>
      <w:r w:rsidRPr="00867F6D">
        <w:rPr>
          <w:rFonts w:ascii="Times New Roman" w:hAnsi="Times New Roman" w:cs="Times New Roman"/>
          <w:color w:val="000000"/>
          <w:sz w:val="30"/>
          <w:szCs w:val="30"/>
        </w:rPr>
        <w:t>природопользователя</w:t>
      </w:r>
      <w:proofErr w:type="spellEnd"/>
      <w:r w:rsidRPr="00867F6D">
        <w:rPr>
          <w:rFonts w:ascii="Times New Roman" w:hAnsi="Times New Roman" w:cs="Times New Roman"/>
          <w:color w:val="000000"/>
          <w:sz w:val="30"/>
          <w:szCs w:val="30"/>
        </w:rPr>
        <w:t xml:space="preserve">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roofErr w:type="gramEnd"/>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 xml:space="preserve">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w:t>
      </w:r>
      <w:r w:rsidR="00C54720" w:rsidRPr="00867F6D">
        <w:rPr>
          <w:rFonts w:ascii="Times New Roman" w:hAnsi="Times New Roman" w:cs="Times New Roman"/>
          <w:sz w:val="30"/>
          <w:szCs w:val="30"/>
        </w:rPr>
        <w:lastRenderedPageBreak/>
        <w:t>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proofErr w:type="gramStart"/>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roofErr w:type="gramEnd"/>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по группам согласно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xml:space="preserve">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w:t>
      </w:r>
      <w:proofErr w:type="gramStart"/>
      <w:r w:rsidRPr="00867F6D">
        <w:rPr>
          <w:rFonts w:ascii="Times New Roman" w:hAnsi="Times New Roman" w:cs="Times New Roman"/>
          <w:sz w:val="30"/>
          <w:szCs w:val="30"/>
        </w:rPr>
        <w:t>,</w:t>
      </w:r>
      <w:proofErr w:type="gramEnd"/>
      <w:r w:rsidRPr="00867F6D">
        <w:rPr>
          <w:rFonts w:ascii="Times New Roman" w:hAnsi="Times New Roman" w:cs="Times New Roman"/>
          <w:sz w:val="30"/>
          <w:szCs w:val="30"/>
        </w:rPr>
        <w:t xml:space="preserve">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 xml:space="preserve">пример, гидриды (в том числе сероводород, гидрохлорид, </w:t>
      </w:r>
      <w:proofErr w:type="spellStart"/>
      <w:r w:rsidRPr="00867F6D">
        <w:rPr>
          <w:rFonts w:ascii="Times New Roman" w:hAnsi="Times New Roman" w:cs="Times New Roman"/>
          <w:sz w:val="30"/>
          <w:szCs w:val="30"/>
        </w:rPr>
        <w:t>гидрофторид</w:t>
      </w:r>
      <w:proofErr w:type="spellEnd"/>
      <w:r w:rsidRPr="00867F6D">
        <w:rPr>
          <w:rFonts w:ascii="Times New Roman" w:hAnsi="Times New Roman" w:cs="Times New Roman"/>
          <w:sz w:val="30"/>
          <w:szCs w:val="30"/>
        </w:rPr>
        <w:t xml:space="preserve">), неорганические кислоты (в том числе азотная кислота, серная кислота, ортофосфорная кислота), </w:t>
      </w:r>
      <w:proofErr w:type="spellStart"/>
      <w:r w:rsidRPr="00867F6D">
        <w:rPr>
          <w:rFonts w:ascii="Times New Roman" w:hAnsi="Times New Roman" w:cs="Times New Roman"/>
          <w:sz w:val="30"/>
          <w:szCs w:val="30"/>
        </w:rPr>
        <w:t>диоксины</w:t>
      </w:r>
      <w:proofErr w:type="spellEnd"/>
      <w:r w:rsidRPr="00867F6D">
        <w:rPr>
          <w:rFonts w:ascii="Times New Roman" w:hAnsi="Times New Roman" w:cs="Times New Roman"/>
          <w:sz w:val="30"/>
          <w:szCs w:val="30"/>
        </w:rPr>
        <w:t xml:space="preserve">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тяжелых металлов и их соединений:</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графах 2 и 3 указываются соответственно наименование и код выбрасываемого загрязняющего вещества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5 отражается количество загрязняющих веществ, разрешенных к выбросу в атмосферный воздух, установленное комитетами в разрешении. </w:t>
      </w:r>
      <w:proofErr w:type="gramStart"/>
      <w:r w:rsidRPr="00867F6D">
        <w:rPr>
          <w:rFonts w:ascii="Times New Roman" w:hAnsi="Times New Roman" w:cs="Times New Roman"/>
          <w:sz w:val="30"/>
          <w:szCs w:val="30"/>
        </w:rPr>
        <w:t xml:space="preserve">В случае, когда в отчетном году </w:t>
      </w:r>
      <w:proofErr w:type="spellStart"/>
      <w:r w:rsidRPr="00867F6D">
        <w:rPr>
          <w:rFonts w:ascii="Times New Roman" w:hAnsi="Times New Roman" w:cs="Times New Roman"/>
          <w:sz w:val="30"/>
          <w:szCs w:val="30"/>
        </w:rPr>
        <w:t>природопользователю</w:t>
      </w:r>
      <w:proofErr w:type="spellEnd"/>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roofErr w:type="gramEnd"/>
    </w:p>
    <w:p w:rsidR="00C54720" w:rsidRPr="00867F6D" w:rsidRDefault="00C54720" w:rsidP="00C54720">
      <w:pPr>
        <w:pStyle w:val="ConsPlusNormal"/>
        <w:suppressAutoHyphens/>
        <w:ind w:firstLine="540"/>
        <w:jc w:val="both"/>
        <w:rPr>
          <w:rFonts w:ascii="Times New Roman" w:hAnsi="Times New Roman" w:cs="Times New Roman"/>
          <w:sz w:val="30"/>
          <w:szCs w:val="30"/>
        </w:rPr>
      </w:pPr>
      <w:proofErr w:type="gramStart"/>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 xml:space="preserve">количество загрязняющих веществ, </w:t>
      </w:r>
      <w:r w:rsidRPr="00867F6D">
        <w:rPr>
          <w:rFonts w:ascii="Times New Roman" w:hAnsi="Times New Roman" w:cs="Times New Roman"/>
          <w:color w:val="000000"/>
          <w:sz w:val="30"/>
          <w:szCs w:val="30"/>
        </w:rPr>
        <w:lastRenderedPageBreak/>
        <w:t>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roofErr w:type="gramEnd"/>
    </w:p>
    <w:p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headerReference w:type="default" r:id="rId16"/>
          <w:pgSz w:w="11906" w:h="16838"/>
          <w:pgMar w:top="1134" w:right="567" w:bottom="851" w:left="1701" w:header="563" w:footer="708" w:gutter="0"/>
          <w:pgNumType w:start="1"/>
          <w:cols w:space="708"/>
          <w:titlePg/>
          <w:docGrid w:linePitch="360"/>
        </w:sectPr>
      </w:pPr>
    </w:p>
    <w:p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rsidR="00C54720" w:rsidRPr="00867F6D" w:rsidRDefault="00C54720" w:rsidP="00C54720">
      <w:pPr>
        <w:pStyle w:val="ConsPlusNormal"/>
        <w:rPr>
          <w:rFonts w:ascii="Times New Roman" w:hAnsi="Times New Roman" w:cs="Times New Roman"/>
          <w:sz w:val="30"/>
          <w:szCs w:val="30"/>
        </w:rPr>
      </w:pPr>
    </w:p>
    <w:p w:rsidR="00C54720" w:rsidRPr="00867F6D" w:rsidRDefault="00C54720" w:rsidP="00C54720">
      <w:pPr>
        <w:pStyle w:val="ConsPlusTitle"/>
        <w:jc w:val="center"/>
        <w:rPr>
          <w:rFonts w:ascii="Times New Roman" w:hAnsi="Times New Roman" w:cs="Times New Roman"/>
          <w:b w:val="0"/>
          <w:sz w:val="30"/>
          <w:szCs w:val="30"/>
        </w:rPr>
      </w:pPr>
      <w:bookmarkStart w:id="3" w:name="P549"/>
      <w:bookmarkEnd w:id="3"/>
      <w:r w:rsidRPr="00867F6D">
        <w:rPr>
          <w:rFonts w:ascii="Times New Roman" w:hAnsi="Times New Roman" w:cs="Times New Roman"/>
          <w:b w:val="0"/>
          <w:sz w:val="30"/>
          <w:szCs w:val="30"/>
        </w:rPr>
        <w:t>ГРУППЫ ГАЗООЧИСТНЫХ УСТАНОВОК ПО ПРИНЦИПУ ДЕЙСТВИЯ</w:t>
      </w:r>
    </w:p>
    <w:p w:rsidR="00C54720" w:rsidRPr="00867F6D" w:rsidRDefault="00C54720" w:rsidP="00C54720">
      <w:pPr>
        <w:pStyle w:val="ConsPlusNormal"/>
        <w:rPr>
          <w:rFonts w:ascii="Times New Roman" w:hAnsi="Times New Roman" w:cs="Times New Roman"/>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088"/>
      </w:tblGrid>
      <w:tr w:rsidR="00C54720" w:rsidRPr="00867F6D" w:rsidTr="00E141F3">
        <w:tc>
          <w:tcPr>
            <w:tcW w:w="240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088"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rsidR="00C54720" w:rsidRDefault="00C54720" w:rsidP="00E141F3">
      <w:pPr>
        <w:pStyle w:val="ConsPlusTitle"/>
        <w:suppressAutoHyphens/>
        <w:spacing w:line="280" w:lineRule="exact"/>
        <w:jc w:val="both"/>
      </w:pPr>
    </w:p>
    <w:sectPr w:rsidR="00C54720" w:rsidSect="00AD6F20">
      <w:footerReference w:type="default" r:id="rId17"/>
      <w:footerReference w:type="first" r:id="rId18"/>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AC" w:rsidRDefault="005933AC">
      <w:r>
        <w:separator/>
      </w:r>
    </w:p>
  </w:endnote>
  <w:endnote w:type="continuationSeparator" w:id="0">
    <w:p w:rsidR="005933AC" w:rsidRDefault="005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94" w:rsidRDefault="000F3A94" w:rsidP="001C6836">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AC" w:rsidRDefault="005933AC">
      <w:r>
        <w:separator/>
      </w:r>
    </w:p>
  </w:footnote>
  <w:footnote w:type="continuationSeparator" w:id="0">
    <w:p w:rsidR="005933AC" w:rsidRDefault="0059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00CD1980">
      <w:rPr>
        <w:noProof/>
        <w:sz w:val="26"/>
        <w:szCs w:val="26"/>
      </w:rPr>
      <w:t>2</w:t>
    </w:r>
    <w:r w:rsidRPr="002D1F3C">
      <w:rPr>
        <w:sz w:val="26"/>
        <w:szCs w:val="26"/>
      </w:rPr>
      <w:fldChar w:fldCharType="end"/>
    </w:r>
  </w:p>
  <w:p w:rsidR="000F3A94" w:rsidRDefault="000F3A94" w:rsidP="00FF0AA4">
    <w:pPr>
      <w:pStyle w:val="a3"/>
      <w:spacing w:line="2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58E"/>
    <w:rsid w:val="003409B6"/>
    <w:rsid w:val="00342A43"/>
    <w:rsid w:val="00352FB5"/>
    <w:rsid w:val="00353AD0"/>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7A37"/>
    <w:rsid w:val="005651B5"/>
    <w:rsid w:val="005707ED"/>
    <w:rsid w:val="00572DB9"/>
    <w:rsid w:val="005774DE"/>
    <w:rsid w:val="00581A98"/>
    <w:rsid w:val="005933AC"/>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1BC4"/>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26FE"/>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D1980"/>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41F3"/>
    <w:rsid w:val="00E15367"/>
    <w:rsid w:val="00E25C16"/>
    <w:rsid w:val="00E439E6"/>
    <w:rsid w:val="00E4579B"/>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9E"/>
    <w:pPr>
      <w:jc w:val="both"/>
    </w:pPr>
    <w:rPr>
      <w:rFonts w:ascii="Times New Roman" w:hAnsi="Times New Roman"/>
      <w:sz w:val="30"/>
      <w:szCs w:val="30"/>
      <w:lang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rPr>
  </w:style>
  <w:style w:type="paragraph" w:customStyle="1" w:styleId="ConsPlusNormal">
    <w:name w:val="ConsPlusNormal"/>
    <w:rsid w:val="00A83B9E"/>
    <w:pPr>
      <w:widowControl w:val="0"/>
      <w:autoSpaceDE w:val="0"/>
      <w:autoSpaceDN w:val="0"/>
    </w:pPr>
    <w:rPr>
      <w:rFonts w:eastAsia="Times New Roman" w:cs="Calibri"/>
      <w:sz w:val="22"/>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rPr>
  </w:style>
  <w:style w:type="table" w:styleId="a5">
    <w:name w:val="Table Grid"/>
    <w:basedOn w:val="a1"/>
    <w:uiPriority w:val="59"/>
    <w:rsid w:val="00F95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F959C2"/>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customStyle="1" w:styleId="UnresolvedMention">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3">
    <w:name w:val="footnote text"/>
    <w:basedOn w:val="a"/>
    <w:link w:val="af4"/>
    <w:uiPriority w:val="99"/>
    <w:semiHidden/>
    <w:unhideWhenUsed/>
    <w:rsid w:val="00C54720"/>
    <w:pPr>
      <w:jc w:val="left"/>
    </w:pPr>
    <w:rPr>
      <w:rFonts w:ascii="Calibri" w:hAnsi="Calibri"/>
      <w:sz w:val="20"/>
      <w:szCs w:val="20"/>
    </w:rPr>
  </w:style>
  <w:style w:type="character" w:customStyle="1" w:styleId="af4">
    <w:name w:val="Текст сноски Знак"/>
    <w:link w:val="af3"/>
    <w:uiPriority w:val="99"/>
    <w:semiHidden/>
    <w:rsid w:val="00C54720"/>
    <w:rPr>
      <w:sz w:val="20"/>
      <w:szCs w:val="20"/>
    </w:rPr>
  </w:style>
  <w:style w:type="character" w:styleId="af5">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9E"/>
    <w:pPr>
      <w:jc w:val="both"/>
    </w:pPr>
    <w:rPr>
      <w:rFonts w:ascii="Times New Roman" w:hAnsi="Times New Roman"/>
      <w:sz w:val="30"/>
      <w:szCs w:val="30"/>
      <w:lang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rPr>
  </w:style>
  <w:style w:type="paragraph" w:customStyle="1" w:styleId="ConsPlusNormal">
    <w:name w:val="ConsPlusNormal"/>
    <w:rsid w:val="00A83B9E"/>
    <w:pPr>
      <w:widowControl w:val="0"/>
      <w:autoSpaceDE w:val="0"/>
      <w:autoSpaceDN w:val="0"/>
    </w:pPr>
    <w:rPr>
      <w:rFonts w:eastAsia="Times New Roman" w:cs="Calibri"/>
      <w:sz w:val="22"/>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rPr>
  </w:style>
  <w:style w:type="table" w:styleId="a5">
    <w:name w:val="Table Grid"/>
    <w:basedOn w:val="a1"/>
    <w:uiPriority w:val="59"/>
    <w:rsid w:val="00F95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F959C2"/>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customStyle="1" w:styleId="UnresolvedMention">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3">
    <w:name w:val="footnote text"/>
    <w:basedOn w:val="a"/>
    <w:link w:val="af4"/>
    <w:uiPriority w:val="99"/>
    <w:semiHidden/>
    <w:unhideWhenUsed/>
    <w:rsid w:val="00C54720"/>
    <w:pPr>
      <w:jc w:val="left"/>
    </w:pPr>
    <w:rPr>
      <w:rFonts w:ascii="Calibri" w:hAnsi="Calibri"/>
      <w:sz w:val="20"/>
      <w:szCs w:val="20"/>
    </w:rPr>
  </w:style>
  <w:style w:type="character" w:customStyle="1" w:styleId="af4">
    <w:name w:val="Текст сноски Знак"/>
    <w:link w:val="af3"/>
    <w:uiPriority w:val="99"/>
    <w:semiHidden/>
    <w:rsid w:val="00C54720"/>
    <w:rPr>
      <w:sz w:val="20"/>
      <w:szCs w:val="20"/>
    </w:rPr>
  </w:style>
  <w:style w:type="character" w:styleId="af5">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cprioos@minoblpriroda.gov.b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lkomprios@ohranaprirody.gov.b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proos@mail.gomel.by" TargetMode="External"/><Relationship Id="rId5" Type="http://schemas.openxmlformats.org/officeDocument/2006/relationships/settings" Target="settings.xml"/><Relationship Id="rId15" Type="http://schemas.openxmlformats.org/officeDocument/2006/relationships/hyperlink" Target="mailto:ok_proos@mogilevpriroda.gov.by" TargetMode="External"/><Relationship Id="rId10" Type="http://schemas.openxmlformats.org/officeDocument/2006/relationships/hyperlink" Target="mailto:komitet@priroda-vitebsk.gov.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roda@priroda-brest.by" TargetMode="External"/><Relationship Id="rId14" Type="http://schemas.openxmlformats.org/officeDocument/2006/relationships/hyperlink" Target="mailto:priroda@mail.belpa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2796-ABB9-43FC-9C74-123F76E3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k105-1</dc:creator>
  <cp:lastModifiedBy>user</cp:lastModifiedBy>
  <cp:revision>2</cp:revision>
  <cp:lastPrinted>2024-12-26T12:20:00Z</cp:lastPrinted>
  <dcterms:created xsi:type="dcterms:W3CDTF">2025-01-09T14:02:00Z</dcterms:created>
  <dcterms:modified xsi:type="dcterms:W3CDTF">2025-01-09T14:02:00Z</dcterms:modified>
</cp:coreProperties>
</file>